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___________________________________, именуемое в дальнейшем Экспонент, в лице 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> Международной специализированной 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жилищно-коммунального хозяйства «НАШ ДОМ»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7C3F57" w:rsidRPr="00920270">
          <w:rPr>
            <w:rStyle w:val="af3"/>
            <w:rFonts w:ascii="Arial" w:hAnsi="Arial" w:cs="Arial"/>
            <w:sz w:val="20"/>
            <w:szCs w:val="20"/>
          </w:rPr>
          <w:t>utility</w:t>
        </w:r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="007C3F57" w:rsidRPr="00920270">
          <w:rPr>
            <w:rStyle w:val="af3"/>
            <w:rFonts w:ascii="Arial" w:hAnsi="Arial" w:cs="Arial"/>
            <w:sz w:val="20"/>
            <w:szCs w:val="20"/>
          </w:rPr>
          <w:t>belexpo</w:t>
        </w:r>
        <w:proofErr w:type="spellEnd"/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7C3F57" w:rsidRPr="00920270">
          <w:rPr>
            <w:rStyle w:val="af3"/>
            <w:rFonts w:ascii="Arial" w:hAnsi="Arial" w:cs="Arial"/>
            <w:sz w:val="20"/>
            <w:szCs w:val="20"/>
          </w:rPr>
          <w:t>by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или посредством конфигуратора выставочного стенда УП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», и Счетами-протоколами согласования цен,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60118E">
        <w:rPr>
          <w:rFonts w:ascii="Arial" w:hAnsi="Arial" w:cs="Arial"/>
          <w:b/>
          <w:sz w:val="20"/>
          <w:szCs w:val="20"/>
          <w:lang w:val="ru-RU"/>
        </w:rPr>
        <w:t>НАШ ДОМ</w:t>
      </w:r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Счетами-протоколами согласования цен,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2.2. Оплата по договору производится не позднее 10 дней до начала монтажа выставки. Экспонент производит предоплату в соответствии со Счетом-протоколом согласования цен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2.3. Резиденты Республики Беларусь осуществляют оплату в белорусских рублях по курсу Е</w:t>
      </w:r>
      <w:r w:rsidR="007C3F57">
        <w:rPr>
          <w:rFonts w:ascii="Arial" w:hAnsi="Arial" w:cs="Arial"/>
          <w:sz w:val="20"/>
          <w:szCs w:val="20"/>
          <w:lang w:val="ru-RU"/>
        </w:rPr>
        <w:t xml:space="preserve">вро, установленному </w:t>
      </w:r>
      <w:proofErr w:type="spellStart"/>
      <w:r w:rsidR="007C3F57">
        <w:rPr>
          <w:rFonts w:ascii="Arial" w:hAnsi="Arial" w:cs="Arial"/>
          <w:sz w:val="20"/>
          <w:szCs w:val="20"/>
          <w:lang w:val="ru-RU"/>
        </w:rPr>
        <w:t>НацБанком</w:t>
      </w:r>
      <w:proofErr w:type="spellEnd"/>
      <w:r w:rsidR="007C3F57">
        <w:rPr>
          <w:rFonts w:ascii="Arial" w:hAnsi="Arial" w:cs="Arial"/>
          <w:sz w:val="20"/>
          <w:szCs w:val="20"/>
          <w:lang w:val="ru-RU"/>
        </w:rPr>
        <w:t xml:space="preserve">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на день оплаты. Нерезиденты Республики Беларусь оплачивают услуги в Евро (долларах США, российских рублях) по ку</w:t>
      </w:r>
      <w:r w:rsidR="007C3F57">
        <w:rPr>
          <w:rFonts w:ascii="Arial" w:hAnsi="Arial" w:cs="Arial"/>
          <w:sz w:val="20"/>
          <w:szCs w:val="20"/>
          <w:lang w:val="ru-RU"/>
        </w:rPr>
        <w:t xml:space="preserve">рсу, установленному </w:t>
      </w:r>
      <w:proofErr w:type="spellStart"/>
      <w:r w:rsidR="007C3F57">
        <w:rPr>
          <w:rFonts w:ascii="Arial" w:hAnsi="Arial" w:cs="Arial"/>
          <w:sz w:val="20"/>
          <w:szCs w:val="20"/>
          <w:lang w:val="ru-RU"/>
        </w:rPr>
        <w:t>НацБанком</w:t>
      </w:r>
      <w:proofErr w:type="spellEnd"/>
      <w:r w:rsidR="007C3F57">
        <w:rPr>
          <w:rFonts w:ascii="Arial" w:hAnsi="Arial" w:cs="Arial"/>
          <w:sz w:val="20"/>
          <w:szCs w:val="20"/>
          <w:lang w:val="ru-RU"/>
        </w:rPr>
        <w:t xml:space="preserve">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на день оплаты.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 соответствии со Счетом-протоколом согласования цен.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Организатора в соответствии с выставленными Счетами-протоколами согласования цен.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3.3.2. В день заезда на мероприятие иметь при себе подлинники подписанного Договора оказания услуг,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4.2. Организатор не несёт ответственность за повреждения или ущерб, причинённый Экспоненту третьими лицами во время работы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выставке.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услуг и Счета-протоколы согласования договорной цены,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Pr="00A019E4">
        <w:rPr>
          <w:rFonts w:ascii="Arial" w:hAnsi="Arial" w:cs="Arial"/>
          <w:b/>
          <w:sz w:val="20"/>
          <w:szCs w:val="20"/>
          <w:lang w:val="ru-RU"/>
        </w:rPr>
        <w:t>УП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7C3F57" w:rsidRPr="00A019E4">
        <w:rPr>
          <w:rFonts w:ascii="Arial" w:hAnsi="Arial" w:cs="Arial"/>
          <w:b/>
          <w:sz w:val="20"/>
          <w:szCs w:val="20"/>
          <w:lang w:val="ru-RU"/>
        </w:rPr>
        <w:t xml:space="preserve">             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УП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аккредитации размещены на сайте УП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1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6.5.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254-98-33, 226-75-93,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2" w:tooltip="mailto:info@expeditor.com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info@expeditor.com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6.6. Услуги, связанные с приемом, размещением Экспонентов в гостиницах г. Минска со СКИДКОЙ по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промокоду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belexpo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оказывают: ГК «Юбилейный», отель «Виктория», гостиница «Минск Марриотт» (https://www.belexpo.by/uslugi/gostinitsy/), также данного вида услуги предоставляют: ГУ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Центркурорт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», </w:t>
      </w:r>
      <w:r w:rsidR="0060118E">
        <w:rPr>
          <w:rFonts w:ascii="Arial" w:hAnsi="Arial" w:cs="Arial"/>
          <w:sz w:val="20"/>
          <w:szCs w:val="20"/>
          <w:lang w:val="ru-RU"/>
        </w:rPr>
        <w:t xml:space="preserve">  </w:t>
      </w:r>
      <w:proofErr w:type="gramEnd"/>
      <w:r w:rsidR="0060118E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>
        <w:rPr>
          <w:rFonts w:ascii="Arial" w:hAnsi="Arial" w:cs="Arial"/>
          <w:sz w:val="20"/>
          <w:szCs w:val="20"/>
          <w:lang w:val="ru-RU"/>
        </w:rPr>
        <w:t>РУП «Президент-отель», РУП «Отель Минск», ОАО «Гостиница Планета».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6.7. В вопросах, не урегулированных настоящим договором, стороны руководствуются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70"/>
      </w:tblGrid>
      <w:tr w:rsidR="00592810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592810">
        <w:tc>
          <w:tcPr>
            <w:tcW w:w="5395" w:type="dxa"/>
          </w:tcPr>
          <w:p w:rsidR="00592810" w:rsidRDefault="00592810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РУП «Национальный выставочный центр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БелЭкспо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УНП 100055235, ОКПО 05546442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220029, г. Минск, ул. Коммунистическая, 11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BY98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MMBN</w:t>
            </w:r>
            <w:r>
              <w:rPr>
                <w:rFonts w:ascii="Arial" w:hAnsi="Arial" w:cs="Arial"/>
                <w:sz w:val="20"/>
                <w:szCs w:val="20"/>
              </w:rPr>
              <w:t>30120000010101642111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ОАО «Банк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Дабрабыт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БИК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MMBNBY</w:t>
            </w:r>
            <w:r>
              <w:rPr>
                <w:rFonts w:ascii="Arial" w:hAnsi="Arial" w:cs="Arial"/>
                <w:sz w:val="20"/>
                <w:szCs w:val="20"/>
              </w:rPr>
              <w:t>22,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220002 г. Минск, ул. Коммунистическая, 49, пом. 1 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УНП банка: 807000002, ОКПО банка: 37612181</w:t>
            </w:r>
          </w:p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95" w:type="dxa"/>
          </w:tcPr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92810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592810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F7" w:rsidRDefault="00EB2AF7">
      <w:r>
        <w:separator/>
      </w:r>
    </w:p>
  </w:endnote>
  <w:endnote w:type="continuationSeparator" w:id="0">
    <w:p w:rsidR="00EB2AF7" w:rsidRDefault="00E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F7" w:rsidRDefault="00EB2AF7">
      <w:r>
        <w:separator/>
      </w:r>
    </w:p>
  </w:footnote>
  <w:footnote w:type="continuationSeparator" w:id="0">
    <w:p w:rsidR="00EB2AF7" w:rsidRDefault="00EB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7C3F57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23950" cy="757610"/>
          <wp:effectExtent l="0" t="0" r="0" b="444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5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2022 г., г. Минск</w:t>
    </w:r>
  </w:p>
  <w:p w:rsidR="00592810" w:rsidRDefault="0059281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153765"/>
    <w:rsid w:val="00392D72"/>
    <w:rsid w:val="004A58F3"/>
    <w:rsid w:val="00592810"/>
    <w:rsid w:val="005B62D8"/>
    <w:rsid w:val="005D71B3"/>
    <w:rsid w:val="0060118E"/>
    <w:rsid w:val="007C3F57"/>
    <w:rsid w:val="00A019E4"/>
    <w:rsid w:val="00EB2AF7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823C4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xpedit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lexpo.b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tility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FBCC2F5-2742-462B-AA7B-5183DF85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2</cp:revision>
  <dcterms:created xsi:type="dcterms:W3CDTF">2022-04-01T07:05:00Z</dcterms:created>
  <dcterms:modified xsi:type="dcterms:W3CDTF">2022-04-01T07:05:00Z</dcterms:modified>
</cp:coreProperties>
</file>